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620FEC" w:rsidRPr="006B6FDC" w:rsidTr="003436C9">
        <w:trPr>
          <w:trHeight w:val="1986"/>
        </w:trPr>
        <w:tc>
          <w:tcPr>
            <w:tcW w:w="5959" w:type="dxa"/>
          </w:tcPr>
          <w:p w:rsidR="00620FEC" w:rsidRPr="006B6FDC" w:rsidRDefault="00620FEC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4600" cy="1876425"/>
                  <wp:effectExtent l="19050" t="0" r="0" b="0"/>
                  <wp:docPr id="14" name="Рисунок 14" descr="C:\Users\user\AppData\Local\Microsoft\Window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620FEC" w:rsidRPr="006B6FDC" w:rsidRDefault="00620FEC" w:rsidP="003436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FEC" w:rsidRPr="00165D95" w:rsidRDefault="00620FEC" w:rsidP="00620FEC">
      <w:pPr>
        <w:pStyle w:val="1"/>
        <w:spacing w:line="240" w:lineRule="auto"/>
        <w:jc w:val="center"/>
        <w:rPr>
          <w:sz w:val="24"/>
          <w:szCs w:val="24"/>
        </w:rPr>
      </w:pPr>
      <w:r w:rsidRPr="00165D95">
        <w:rPr>
          <w:sz w:val="24"/>
          <w:szCs w:val="24"/>
        </w:rPr>
        <w:t xml:space="preserve">ДОЛЖНОСТНАЯ ИНСТРУКЦИЯ </w:t>
      </w:r>
    </w:p>
    <w:p w:rsidR="00620FEC" w:rsidRPr="00165D95" w:rsidRDefault="00620FEC" w:rsidP="00620FE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D13FD0">
        <w:rPr>
          <w:rFonts w:ascii="Times New Roman" w:hAnsi="Times New Roman"/>
          <w:b/>
          <w:sz w:val="24"/>
          <w:szCs w:val="24"/>
        </w:rPr>
        <w:t>ПЕДАГОГА-ОРГАНИЗАТОРА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</w:t>
      </w:r>
      <w:r w:rsidRPr="00165D95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ЦЕНТРА ОБРАЗОВАНИЯ ЦИФРОВОГО И ГУМАНИТАРНОГО ПРОФИЛЕЙ </w:t>
      </w:r>
    </w:p>
    <w:p w:rsidR="00620FEC" w:rsidRPr="00165D95" w:rsidRDefault="00620FEC" w:rsidP="0062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620FEC" w:rsidRDefault="00620FEC" w:rsidP="00620FEC">
      <w:pPr>
        <w:jc w:val="center"/>
        <w:rPr>
          <w:snapToGrid w:val="0"/>
          <w:color w:val="000000"/>
          <w:sz w:val="24"/>
          <w:szCs w:val="24"/>
        </w:rPr>
      </w:pPr>
    </w:p>
    <w:p w:rsidR="00620FEC" w:rsidRPr="00060AE0" w:rsidRDefault="00620FEC" w:rsidP="00620FEC">
      <w:pPr>
        <w:pStyle w:val="a4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060AE0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620FEC" w:rsidRPr="00D13FD0" w:rsidRDefault="00620FEC" w:rsidP="00620FEC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D13FD0">
        <w:rPr>
          <w:iCs/>
        </w:rPr>
        <w:t>1.2. На должность педагога-организатора принимается лицо</w:t>
      </w:r>
      <w:r w:rsidRPr="00D13FD0">
        <w:rPr>
          <w:i/>
          <w:iCs/>
        </w:rPr>
        <w:t>: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D13FD0">
        <w:rPr>
          <w:iCs/>
        </w:rPr>
        <w:t>1) отвечающее одному из указанных: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D13FD0">
        <w:rPr>
          <w:iCs/>
        </w:rPr>
        <w:t>а)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D13FD0">
        <w:rPr>
          <w:iCs/>
        </w:rPr>
        <w:t>б)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D13FD0">
        <w:rPr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20FEC" w:rsidRPr="00D13FD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D13FD0"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060AE0"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08"/>
        <w:jc w:val="both"/>
        <w:rPr>
          <w:iCs/>
        </w:rPr>
      </w:pPr>
      <w:r w:rsidRPr="00060AE0">
        <w:rPr>
          <w:iCs/>
        </w:rPr>
        <w:t>4) прошедшее аттестацию на соответствие занимаемой должности в</w:t>
      </w:r>
      <w:r w:rsidRPr="00060AE0">
        <w:rPr>
          <w:i/>
          <w:iCs/>
          <w:color w:val="333333"/>
        </w:rPr>
        <w:t xml:space="preserve"> </w:t>
      </w:r>
      <w:r w:rsidRPr="00060AE0">
        <w:rPr>
          <w:iCs/>
        </w:rPr>
        <w:t>установленном законодательством Российской Федерации порядке.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1.3. Педагог-организатор в своей деятельности руководствуется: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426"/>
        <w:jc w:val="both"/>
        <w:rPr>
          <w:iCs/>
        </w:rPr>
      </w:pPr>
      <w:r w:rsidRPr="00060AE0">
        <w:rPr>
          <w:iCs/>
        </w:rPr>
        <w:t xml:space="preserve">1) Уставом </w:t>
      </w:r>
      <w:r w:rsidRPr="00060AE0">
        <w:t>МБОУ «Ржаксинская СОШ № 1 им. Н.М. Фролова»;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426"/>
        <w:jc w:val="both"/>
      </w:pPr>
      <w:r w:rsidRPr="00060AE0">
        <w:rPr>
          <w:iCs/>
        </w:rPr>
        <w:t xml:space="preserve">2) Положением </w:t>
      </w:r>
      <w:r w:rsidRPr="00060AE0">
        <w:rPr>
          <w:bCs/>
        </w:rPr>
        <w:t xml:space="preserve">о деятельности Центра образования цифрового и гуманитарного профилей «Точка роста» </w:t>
      </w:r>
      <w:r w:rsidRPr="00060AE0">
        <w:t>МБОУ «Ржаксинская СОШ № 1 им. Н.М. Фролова»;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426"/>
        <w:jc w:val="both"/>
        <w:rPr>
          <w:iCs/>
        </w:rPr>
      </w:pPr>
      <w:r w:rsidRPr="00060AE0">
        <w:rPr>
          <w:iCs/>
        </w:rPr>
        <w:t>3) настоящей должностной инструкцией;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426"/>
        <w:jc w:val="both"/>
        <w:rPr>
          <w:iCs/>
        </w:rPr>
      </w:pPr>
      <w:r w:rsidRPr="00060AE0">
        <w:rPr>
          <w:iCs/>
        </w:rPr>
        <w:t>4) Трудовым договором и др. нормативными документами школы.</w:t>
      </w:r>
    </w:p>
    <w:p w:rsidR="00620FEC" w:rsidRPr="00D13FD0" w:rsidRDefault="00620FEC" w:rsidP="00620FEC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:rsidR="00620FEC" w:rsidRPr="00D13FD0" w:rsidRDefault="00620FEC" w:rsidP="00620FEC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3. Педагог-организатор </w:t>
      </w:r>
      <w:r w:rsidRPr="00D13FD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должен знать: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3) нормативно-правовые акты в области защиты прав ребенка, включая международные;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5) основные направления досуговой деятельности, особенности организации и проведения массовых досуговых мероприятий;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15) виды внебюджетных средств, источники их поступления и направления использования;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17) методологические основы современного дополнительного образования детей и взрослых;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19) источники, причины, виды и способы разрешения конфликтов;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20) особенности построения компетентностно-ориентированного образовательного процесса;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lastRenderedPageBreak/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25) стадии профессионального развития педагогов;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rPr>
          <w:iCs/>
        </w:rPr>
      </w:pPr>
      <w:r w:rsidRPr="00060AE0">
        <w:rPr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29) основы трудового законодательства Российской Федерации;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30) Правила внутреннего трудового распорядка;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31) требования охраны труда и правила пожарной безопасности;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32) (другие документы, материалы и т.д.).</w:t>
      </w:r>
    </w:p>
    <w:p w:rsidR="00620FEC" w:rsidRPr="00060AE0" w:rsidRDefault="00620FEC" w:rsidP="00620FEC">
      <w:pPr>
        <w:pStyle w:val="a3"/>
        <w:spacing w:before="0" w:beforeAutospacing="0" w:after="0" w:afterAutospacing="0"/>
        <w:jc w:val="both"/>
        <w:rPr>
          <w:iCs/>
        </w:rPr>
      </w:pP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 xml:space="preserve">4. Педагог-организатор </w:t>
      </w:r>
      <w:r w:rsidRPr="00060AE0">
        <w:rPr>
          <w:b/>
          <w:iCs/>
        </w:rPr>
        <w:t>должен уметь: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060AE0">
        <w:rPr>
          <w:iCs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поддерживать социально значимые инициативы учащихся;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организовывать репетиции;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координировать деятельность педагогов, объединений детей и школьников при подготовке мероприятий;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выполнять роль ведущего досуговых мероприятий;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привлекать к участию в мероприятиях одаренных детей и детей с ограниченными возможностями здоровья;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20FEC" w:rsidRPr="00060AE0" w:rsidRDefault="00620FEC" w:rsidP="00620F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060AE0">
        <w:rPr>
          <w:iCs/>
        </w:rPr>
        <w:t>использовать профориентационные возможности досуговой деятельности;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 xml:space="preserve"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</w:t>
      </w:r>
      <w:r w:rsidRPr="00060AE0">
        <w:rPr>
          <w:iCs/>
        </w:rPr>
        <w:lastRenderedPageBreak/>
        <w:t>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14) производить изучение потребностей дополнительных образовательных услуг на базе Центра;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 xml:space="preserve">16) разрабатывать и представлять руководству и педагогическому коллективу предложения по развитию Центра, реализующего программы дополнительного </w:t>
      </w:r>
      <w:r w:rsidRPr="00060AE0">
        <w:rPr>
          <w:iCs/>
        </w:rPr>
        <w:lastRenderedPageBreak/>
        <w:t>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17) создавать условия для реализации детьми творческого и исследовательского потенциала;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20FEC" w:rsidRPr="00060AE0" w:rsidRDefault="00620FEC" w:rsidP="00620FEC">
      <w:pPr>
        <w:pStyle w:val="a3"/>
        <w:spacing w:before="0" w:beforeAutospacing="0" w:after="0" w:afterAutospacing="0"/>
        <w:ind w:firstLine="360"/>
        <w:jc w:val="both"/>
        <w:rPr>
          <w:iCs/>
        </w:rPr>
      </w:pPr>
      <w:r w:rsidRPr="00060AE0">
        <w:rPr>
          <w:iCs/>
        </w:rPr>
        <w:t>21) выполнять требования охраны труда;</w:t>
      </w:r>
    </w:p>
    <w:p w:rsidR="00620FEC" w:rsidRPr="00060AE0" w:rsidRDefault="00620FEC" w:rsidP="00620FEC">
      <w:pPr>
        <w:jc w:val="both"/>
        <w:rPr>
          <w:snapToGrid w:val="0"/>
          <w:color w:val="000000"/>
          <w:sz w:val="24"/>
          <w:szCs w:val="24"/>
        </w:rPr>
      </w:pPr>
    </w:p>
    <w:p w:rsidR="00620FEC" w:rsidRPr="00D13FD0" w:rsidRDefault="00620FEC" w:rsidP="00620FEC">
      <w:pPr>
        <w:spacing w:line="240" w:lineRule="auto"/>
        <w:ind w:firstLine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Педагог-организатор подчиняется непосредственно руководителю Центра роста и директору учреждения.</w:t>
      </w:r>
    </w:p>
    <w:p w:rsidR="00620FEC" w:rsidRPr="00D13FD0" w:rsidRDefault="00620FEC" w:rsidP="00620FEC">
      <w:pPr>
        <w:spacing w:line="240" w:lineRule="auto"/>
        <w:ind w:firstLine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20FEC" w:rsidRPr="00060AE0" w:rsidRDefault="00620FEC" w:rsidP="00620FEC">
      <w:pPr>
        <w:pStyle w:val="a4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060AE0">
        <w:rPr>
          <w:rFonts w:ascii="Times New Roman" w:hAnsi="Times New Roman"/>
          <w:i w:val="0"/>
          <w:snapToGrid w:val="0"/>
          <w:sz w:val="24"/>
          <w:szCs w:val="24"/>
        </w:rPr>
        <w:t>II. Должностные обязанности.</w:t>
      </w:r>
    </w:p>
    <w:p w:rsidR="00620FEC" w:rsidRPr="00D13FD0" w:rsidRDefault="00620FEC" w:rsidP="00620FE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 Способствует реализации прав ребенка на развитие творческих способностей.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9. Оказывает поддержку детским кооперативам, иным формам организации труда обучающихся (воспитанников, детей).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20FEC" w:rsidRPr="00060AE0" w:rsidRDefault="00620FEC" w:rsidP="00620FEC">
      <w:pPr>
        <w:pStyle w:val="a4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060AE0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Педагог-организатор </w:t>
      </w:r>
      <w:r w:rsidRPr="00D13FD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вправе</w:t>
      </w: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Знакомиться с проектами решений руководства Центра и учреждения, касающихся его деятельности.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</w:t>
      </w:r>
      <w:r w:rsidRPr="00060AE0">
        <w:rPr>
          <w:snapToGrid w:val="0"/>
          <w:color w:val="000000"/>
          <w:sz w:val="24"/>
          <w:szCs w:val="24"/>
        </w:rPr>
        <w:t xml:space="preserve"> </w:t>
      </w: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методов работы; замечания по деятельности работников; варианты устранения имеющихся в деятельности Центра недостатков.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Привлекать специалистов Центра и сотрудников школы к решению задач, возложенных на него.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620FEC" w:rsidRPr="00D13FD0" w:rsidRDefault="00620FEC" w:rsidP="00620FEC">
      <w:pPr>
        <w:pStyle w:val="a4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D13FD0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Педагог-организатор несет </w:t>
      </w:r>
      <w:r w:rsidRPr="00D13FD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ответственность</w:t>
      </w: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620FEC" w:rsidRPr="00D13FD0" w:rsidRDefault="00620FEC" w:rsidP="00620FEC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FD0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D0">
        <w:rPr>
          <w:rFonts w:ascii="Times New Roman" w:hAnsi="Times New Roman" w:cs="Times New Roman"/>
          <w:sz w:val="24"/>
          <w:szCs w:val="24"/>
        </w:rPr>
        <w:t>С Должностной инструкцией ознакомился ____________________________________.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D0">
        <w:rPr>
          <w:rFonts w:ascii="Times New Roman" w:hAnsi="Times New Roman" w:cs="Times New Roman"/>
          <w:sz w:val="24"/>
          <w:szCs w:val="24"/>
        </w:rPr>
        <w:t>"___" ________________ 2020 года.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D0">
        <w:rPr>
          <w:rFonts w:ascii="Times New Roman" w:hAnsi="Times New Roman" w:cs="Times New Roman"/>
          <w:sz w:val="24"/>
          <w:szCs w:val="24"/>
        </w:rPr>
        <w:lastRenderedPageBreak/>
        <w:t>Экземпляр данной должностной инструкции получил __________________________.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D0">
        <w:rPr>
          <w:rFonts w:ascii="Times New Roman" w:hAnsi="Times New Roman" w:cs="Times New Roman"/>
          <w:sz w:val="24"/>
          <w:szCs w:val="24"/>
        </w:rPr>
        <w:t>"___" ________________ 2020 года.</w:t>
      </w:r>
    </w:p>
    <w:p w:rsidR="00620FEC" w:rsidRPr="00D13FD0" w:rsidRDefault="00620FEC" w:rsidP="0062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6F" w:rsidRDefault="00620FEC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B32"/>
    <w:multiLevelType w:val="hybridMultilevel"/>
    <w:tmpl w:val="484016FE"/>
    <w:lvl w:ilvl="0" w:tplc="07827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20FEC"/>
    <w:rsid w:val="00567EFF"/>
    <w:rsid w:val="00620FEC"/>
    <w:rsid w:val="006F79D2"/>
    <w:rsid w:val="007250D8"/>
    <w:rsid w:val="00984661"/>
    <w:rsid w:val="009A0D8F"/>
    <w:rsid w:val="009E4E66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EC"/>
  </w:style>
  <w:style w:type="paragraph" w:styleId="1">
    <w:name w:val="heading 1"/>
    <w:basedOn w:val="a"/>
    <w:next w:val="a"/>
    <w:link w:val="10"/>
    <w:qFormat/>
    <w:rsid w:val="00620FE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FEC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Normal (Web)"/>
    <w:basedOn w:val="a"/>
    <w:unhideWhenUsed/>
    <w:rsid w:val="0062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Заг"/>
    <w:basedOn w:val="a5"/>
    <w:rsid w:val="00620FEC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20F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0FEC"/>
  </w:style>
  <w:style w:type="paragraph" w:styleId="a7">
    <w:name w:val="Balloon Text"/>
    <w:basedOn w:val="a"/>
    <w:link w:val="a8"/>
    <w:uiPriority w:val="99"/>
    <w:semiHidden/>
    <w:unhideWhenUsed/>
    <w:rsid w:val="006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2020-03-03T09:38:00Z</dcterms:created>
  <dcterms:modified xsi:type="dcterms:W3CDTF">2020-03-03T09:38:00Z</dcterms:modified>
</cp:coreProperties>
</file>